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DB" w:rsidRDefault="00FC32DB" w:rsidP="00FC32DB">
      <w:pPr>
        <w:spacing w:line="360" w:lineRule="auto"/>
        <w:ind w:firstLineChars="200" w:firstLine="482"/>
        <w:jc w:val="center"/>
        <w:rPr>
          <w:rFonts w:ascii="宋体" w:hAnsi="宋体"/>
          <w:b/>
          <w:kern w:val="0"/>
          <w:sz w:val="24"/>
        </w:rPr>
      </w:pPr>
      <w:r>
        <w:rPr>
          <w:rFonts w:ascii="宋体" w:hAnsi="宋体" w:hint="eastAsia"/>
          <w:b/>
          <w:kern w:val="0"/>
          <w:sz w:val="24"/>
        </w:rPr>
        <w:t>江西</w:t>
      </w:r>
      <w:r w:rsidRPr="000A6A3D">
        <w:rPr>
          <w:rFonts w:ascii="宋体" w:hAnsi="宋体" w:hint="eastAsia"/>
          <w:b/>
          <w:kern w:val="0"/>
          <w:sz w:val="24"/>
        </w:rPr>
        <w:t>分行</w:t>
      </w:r>
      <w:r>
        <w:rPr>
          <w:rFonts w:ascii="宋体" w:hAnsi="宋体" w:hint="eastAsia"/>
          <w:b/>
          <w:kern w:val="0"/>
          <w:sz w:val="24"/>
        </w:rPr>
        <w:t>龙卡</w:t>
      </w:r>
      <w:r w:rsidRPr="000A6A3D">
        <w:rPr>
          <w:rFonts w:ascii="宋体" w:hAnsi="宋体" w:hint="eastAsia"/>
          <w:b/>
          <w:kern w:val="0"/>
          <w:sz w:val="24"/>
        </w:rPr>
        <w:t>信用卡</w:t>
      </w:r>
      <w:r>
        <w:rPr>
          <w:rFonts w:ascii="宋体" w:hAnsi="宋体" w:hint="eastAsia"/>
          <w:b/>
          <w:kern w:val="0"/>
          <w:sz w:val="24"/>
        </w:rPr>
        <w:t>账单分期</w:t>
      </w:r>
      <w:r w:rsidRPr="000A6A3D">
        <w:rPr>
          <w:rFonts w:ascii="宋体" w:hAnsi="宋体" w:hint="eastAsia"/>
          <w:b/>
          <w:kern w:val="0"/>
          <w:sz w:val="24"/>
        </w:rPr>
        <w:t>活动客户问答</w:t>
      </w:r>
    </w:p>
    <w:p w:rsidR="00FC32DB" w:rsidRPr="000A6A3D" w:rsidRDefault="00FC32DB" w:rsidP="00FC32DB">
      <w:pPr>
        <w:spacing w:line="360" w:lineRule="auto"/>
        <w:ind w:firstLineChars="200" w:firstLine="482"/>
        <w:jc w:val="center"/>
        <w:rPr>
          <w:rFonts w:ascii="宋体" w:hAnsi="宋体"/>
          <w:b/>
          <w:kern w:val="0"/>
          <w:sz w:val="24"/>
        </w:rPr>
      </w:pPr>
    </w:p>
    <w:p w:rsidR="00FC32DB" w:rsidRPr="000569A2" w:rsidRDefault="00FC32DB" w:rsidP="00FC32DB">
      <w:pPr>
        <w:spacing w:line="360" w:lineRule="auto"/>
        <w:ind w:firstLineChars="200" w:firstLine="482"/>
        <w:rPr>
          <w:rFonts w:asciiTheme="minorEastAsia" w:eastAsiaTheme="minorEastAsia" w:hAnsiTheme="minorEastAsia"/>
          <w:b/>
          <w:color w:val="0000FF"/>
          <w:kern w:val="0"/>
          <w:sz w:val="24"/>
          <w:lang w:bidi="en-US"/>
        </w:rPr>
      </w:pPr>
      <w:r w:rsidRPr="000569A2">
        <w:rPr>
          <w:rFonts w:asciiTheme="minorEastAsia" w:eastAsiaTheme="minorEastAsia" w:hAnsiTheme="minorEastAsia" w:hint="eastAsia"/>
          <w:b/>
          <w:color w:val="0000FF"/>
          <w:kern w:val="0"/>
          <w:sz w:val="24"/>
          <w:lang w:bidi="en-US"/>
        </w:rPr>
        <w:t>一、客户问答</w:t>
      </w:r>
    </w:p>
    <w:p w:rsidR="00FC32DB" w:rsidRPr="000569A2" w:rsidRDefault="00FC32DB" w:rsidP="00FC32DB">
      <w:pPr>
        <w:autoSpaceDE w:val="0"/>
        <w:autoSpaceDN w:val="0"/>
        <w:spacing w:line="600" w:lineRule="exact"/>
        <w:ind w:firstLine="640"/>
        <w:rPr>
          <w:rFonts w:asciiTheme="minorEastAsia" w:eastAsiaTheme="minorEastAsia" w:hAnsiTheme="minorEastAsia" w:cs="宋体"/>
          <w:b/>
          <w:kern w:val="0"/>
          <w:sz w:val="24"/>
        </w:rPr>
      </w:pPr>
      <w:r w:rsidRPr="000569A2">
        <w:rPr>
          <w:rFonts w:asciiTheme="minorEastAsia" w:eastAsiaTheme="minorEastAsia" w:hAnsiTheme="minorEastAsia" w:cs="宋体" w:hint="eastAsia"/>
          <w:b/>
          <w:kern w:val="0"/>
          <w:sz w:val="24"/>
        </w:rPr>
        <w:t>（一）本次活动具体内容？</w:t>
      </w:r>
    </w:p>
    <w:p w:rsidR="00FC32DB" w:rsidRPr="000569A2" w:rsidRDefault="00FC32DB" w:rsidP="00FC32DB">
      <w:pPr>
        <w:spacing w:line="360" w:lineRule="auto"/>
        <w:ind w:firstLineChars="200" w:firstLine="482"/>
        <w:rPr>
          <w:rFonts w:asciiTheme="minorEastAsia" w:eastAsiaTheme="minorEastAsia" w:hAnsiTheme="minorEastAsia"/>
          <w:b/>
          <w:color w:val="0000FF"/>
          <w:kern w:val="0"/>
          <w:sz w:val="24"/>
          <w:lang w:bidi="en-US"/>
        </w:rPr>
      </w:pPr>
      <w:r w:rsidRPr="000569A2">
        <w:rPr>
          <w:rFonts w:asciiTheme="minorEastAsia" w:eastAsiaTheme="minorEastAsia" w:hAnsiTheme="minorEastAsia" w:hint="eastAsia"/>
          <w:b/>
          <w:color w:val="0000FF"/>
          <w:kern w:val="0"/>
          <w:sz w:val="24"/>
          <w:lang w:bidi="en-US"/>
        </w:rPr>
        <w:t>1.活动时间</w:t>
      </w:r>
    </w:p>
    <w:p w:rsidR="00FC32DB" w:rsidRPr="000569A2" w:rsidRDefault="00FC32DB" w:rsidP="00FC32DB">
      <w:pPr>
        <w:autoSpaceDE w:val="0"/>
        <w:autoSpaceDN w:val="0"/>
        <w:spacing w:line="600" w:lineRule="exact"/>
        <w:ind w:firstLine="64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2016年1月-3月</w:t>
      </w:r>
    </w:p>
    <w:p w:rsidR="00FC32DB" w:rsidRPr="000569A2" w:rsidRDefault="00FC32DB" w:rsidP="00FC32DB">
      <w:pPr>
        <w:spacing w:line="360" w:lineRule="auto"/>
        <w:ind w:firstLineChars="200" w:firstLine="482"/>
        <w:rPr>
          <w:rFonts w:asciiTheme="minorEastAsia" w:eastAsiaTheme="minorEastAsia" w:hAnsiTheme="minorEastAsia"/>
          <w:b/>
          <w:color w:val="0000FF"/>
          <w:kern w:val="0"/>
          <w:sz w:val="24"/>
          <w:lang w:bidi="en-US"/>
        </w:rPr>
      </w:pPr>
      <w:r w:rsidRPr="000569A2">
        <w:rPr>
          <w:rFonts w:asciiTheme="minorEastAsia" w:eastAsiaTheme="minorEastAsia" w:hAnsiTheme="minorEastAsia" w:hint="eastAsia"/>
          <w:b/>
          <w:color w:val="0000FF"/>
          <w:kern w:val="0"/>
          <w:sz w:val="24"/>
          <w:lang w:bidi="en-US"/>
        </w:rPr>
        <w:t>2.活动主题</w:t>
      </w:r>
    </w:p>
    <w:p w:rsidR="00FC32DB" w:rsidRPr="000569A2" w:rsidRDefault="00FC32DB" w:rsidP="00FC32DB">
      <w:pPr>
        <w:pStyle w:val="a5"/>
        <w:spacing w:before="0" w:beforeAutospacing="0" w:after="0" w:afterAutospacing="0" w:line="600" w:lineRule="exact"/>
        <w:ind w:firstLineChars="200" w:firstLine="480"/>
        <w:rPr>
          <w:rFonts w:asciiTheme="minorEastAsia" w:eastAsiaTheme="minorEastAsia" w:hAnsiTheme="minorEastAsia"/>
        </w:rPr>
      </w:pPr>
      <w:r w:rsidRPr="000569A2">
        <w:rPr>
          <w:rFonts w:asciiTheme="minorEastAsia" w:eastAsiaTheme="minorEastAsia" w:hAnsiTheme="minorEastAsia" w:hint="eastAsia"/>
        </w:rPr>
        <w:t>金猴献礼迎新春，账单分期享吉礼</w:t>
      </w:r>
    </w:p>
    <w:p w:rsidR="00FC32DB" w:rsidRPr="000569A2" w:rsidRDefault="00FC32DB" w:rsidP="00FC32DB">
      <w:pPr>
        <w:spacing w:line="360" w:lineRule="auto"/>
        <w:ind w:firstLineChars="200" w:firstLine="482"/>
        <w:rPr>
          <w:rFonts w:asciiTheme="minorEastAsia" w:eastAsiaTheme="minorEastAsia" w:hAnsiTheme="minorEastAsia"/>
          <w:b/>
          <w:color w:val="0000FF"/>
          <w:kern w:val="0"/>
          <w:sz w:val="24"/>
          <w:lang w:bidi="en-US"/>
        </w:rPr>
      </w:pPr>
      <w:r w:rsidRPr="000569A2">
        <w:rPr>
          <w:rFonts w:asciiTheme="minorEastAsia" w:eastAsiaTheme="minorEastAsia" w:hAnsiTheme="minorEastAsia" w:hint="eastAsia"/>
          <w:b/>
          <w:color w:val="0000FF"/>
          <w:kern w:val="0"/>
          <w:sz w:val="24"/>
          <w:lang w:bidi="en-US"/>
        </w:rPr>
        <w:t>3.活动内容</w:t>
      </w:r>
    </w:p>
    <w:p w:rsidR="00FC32DB" w:rsidRPr="000569A2" w:rsidRDefault="00FC32DB" w:rsidP="00FC32DB">
      <w:pPr>
        <w:pStyle w:val="a5"/>
        <w:spacing w:before="0" w:beforeAutospacing="0" w:after="0" w:afterAutospacing="0" w:line="600" w:lineRule="exact"/>
        <w:ind w:firstLineChars="200" w:firstLine="482"/>
        <w:rPr>
          <w:rFonts w:asciiTheme="minorEastAsia" w:eastAsiaTheme="minorEastAsia" w:hAnsiTheme="minorEastAsia"/>
          <w:snapToGrid w:val="0"/>
        </w:rPr>
      </w:pPr>
      <w:r w:rsidRPr="000569A2">
        <w:rPr>
          <w:rFonts w:asciiTheme="minorEastAsia" w:eastAsiaTheme="minorEastAsia" w:hAnsiTheme="minorEastAsia" w:cs="Times New Roman" w:hint="eastAsia"/>
          <w:b/>
          <w:color w:val="0000FF"/>
          <w:lang w:bidi="en-US"/>
        </w:rPr>
        <w:t>（1）折扣礼。</w:t>
      </w:r>
      <w:r w:rsidRPr="000569A2">
        <w:rPr>
          <w:rFonts w:asciiTheme="minorEastAsia" w:eastAsiaTheme="minorEastAsia" w:hAnsiTheme="minorEastAsia" w:hint="eastAsia"/>
          <w:snapToGrid w:val="0"/>
        </w:rPr>
        <w:t>2016年1月1日-2016年3月31日，办理龙卡账单分期12期及以上，可享手续费基准费率8.8折。</w:t>
      </w:r>
    </w:p>
    <w:tbl>
      <w:tblPr>
        <w:tblW w:w="6680" w:type="dxa"/>
        <w:jc w:val="center"/>
        <w:tblCellMar>
          <w:left w:w="0" w:type="dxa"/>
          <w:right w:w="0" w:type="dxa"/>
        </w:tblCellMar>
        <w:tblLook w:val="0600"/>
      </w:tblPr>
      <w:tblGrid>
        <w:gridCol w:w="1705"/>
        <w:gridCol w:w="1023"/>
        <w:gridCol w:w="1023"/>
        <w:gridCol w:w="1023"/>
        <w:gridCol w:w="1003"/>
        <w:gridCol w:w="903"/>
      </w:tblGrid>
      <w:tr w:rsidR="00FC32DB" w:rsidRPr="000569A2" w:rsidTr="006F648C">
        <w:trPr>
          <w:trHeight w:val="660"/>
          <w:jc w:val="center"/>
        </w:trPr>
        <w:tc>
          <w:tcPr>
            <w:tcW w:w="1705" w:type="dxa"/>
            <w:tcBorders>
              <w:top w:val="single" w:sz="8" w:space="0" w:color="000000"/>
              <w:left w:val="single" w:sz="8" w:space="0" w:color="FFFFFF"/>
              <w:bottom w:val="single" w:sz="8" w:space="0" w:color="000000"/>
              <w:right w:val="single" w:sz="8" w:space="0" w:color="FFFFFF"/>
            </w:tcBorders>
            <w:shd w:val="clear" w:color="auto" w:fill="A6A6A6"/>
            <w:tcMar>
              <w:top w:w="9" w:type="dxa"/>
              <w:left w:w="9" w:type="dxa"/>
              <w:bottom w:w="0" w:type="dxa"/>
              <w:right w:w="9"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cs="Arial" w:hint="eastAsia"/>
                <w:b/>
                <w:bCs/>
                <w:color w:val="FFFFFF"/>
                <w:kern w:val="24"/>
                <w:sz w:val="24"/>
              </w:rPr>
              <w:t>期数</w:t>
            </w:r>
          </w:p>
        </w:tc>
        <w:tc>
          <w:tcPr>
            <w:tcW w:w="1023" w:type="dxa"/>
            <w:tcBorders>
              <w:top w:val="single" w:sz="8" w:space="0" w:color="000000"/>
              <w:left w:val="single" w:sz="8" w:space="0" w:color="FFFFFF"/>
              <w:bottom w:val="single" w:sz="8" w:space="0" w:color="000000"/>
              <w:right w:val="single" w:sz="8" w:space="0" w:color="FFFFFF"/>
            </w:tcBorders>
            <w:shd w:val="clear" w:color="auto" w:fill="A6A6A6"/>
            <w:tcMar>
              <w:top w:w="9" w:type="dxa"/>
              <w:left w:w="9" w:type="dxa"/>
              <w:bottom w:w="0" w:type="dxa"/>
              <w:right w:w="9"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cs="Arial" w:hint="eastAsia"/>
                <w:b/>
                <w:bCs/>
                <w:color w:val="FFFFFF"/>
                <w:kern w:val="24"/>
                <w:sz w:val="24"/>
              </w:rPr>
              <w:t>3期</w:t>
            </w:r>
          </w:p>
        </w:tc>
        <w:tc>
          <w:tcPr>
            <w:tcW w:w="1023" w:type="dxa"/>
            <w:tcBorders>
              <w:top w:val="single" w:sz="8" w:space="0" w:color="000000"/>
              <w:left w:val="single" w:sz="8" w:space="0" w:color="FFFFFF"/>
              <w:bottom w:val="single" w:sz="8" w:space="0" w:color="000000"/>
              <w:right w:val="single" w:sz="8" w:space="0" w:color="FFFFFF"/>
            </w:tcBorders>
            <w:shd w:val="clear" w:color="auto" w:fill="A6A6A6"/>
            <w:tcMar>
              <w:top w:w="9" w:type="dxa"/>
              <w:left w:w="9" w:type="dxa"/>
              <w:bottom w:w="0" w:type="dxa"/>
              <w:right w:w="9"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cs="Arial" w:hint="eastAsia"/>
                <w:b/>
                <w:bCs/>
                <w:color w:val="FFFFFF"/>
                <w:kern w:val="24"/>
                <w:sz w:val="24"/>
              </w:rPr>
              <w:t>6期</w:t>
            </w:r>
          </w:p>
        </w:tc>
        <w:tc>
          <w:tcPr>
            <w:tcW w:w="1023" w:type="dxa"/>
            <w:tcBorders>
              <w:top w:val="single" w:sz="8" w:space="0" w:color="000000"/>
              <w:left w:val="single" w:sz="8" w:space="0" w:color="FFFFFF"/>
              <w:bottom w:val="single" w:sz="8" w:space="0" w:color="000000"/>
              <w:right w:val="single" w:sz="8" w:space="0" w:color="FFFFFF"/>
            </w:tcBorders>
            <w:shd w:val="clear" w:color="auto" w:fill="A6A6A6"/>
            <w:tcMar>
              <w:top w:w="9" w:type="dxa"/>
              <w:left w:w="9" w:type="dxa"/>
              <w:bottom w:w="0" w:type="dxa"/>
              <w:right w:w="9"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cs="Arial" w:hint="eastAsia"/>
                <w:b/>
                <w:bCs/>
                <w:color w:val="FFFFFF"/>
                <w:kern w:val="24"/>
                <w:sz w:val="24"/>
              </w:rPr>
              <w:t>12期</w:t>
            </w:r>
          </w:p>
        </w:tc>
        <w:tc>
          <w:tcPr>
            <w:tcW w:w="1003" w:type="dxa"/>
            <w:tcBorders>
              <w:top w:val="single" w:sz="8" w:space="0" w:color="000000"/>
              <w:left w:val="single" w:sz="8" w:space="0" w:color="FFFFFF"/>
              <w:bottom w:val="single" w:sz="8" w:space="0" w:color="000000"/>
              <w:right w:val="single" w:sz="8" w:space="0" w:color="FFFFFF"/>
            </w:tcBorders>
            <w:shd w:val="clear" w:color="auto" w:fill="A6A6A6"/>
            <w:tcMar>
              <w:top w:w="9" w:type="dxa"/>
              <w:left w:w="9" w:type="dxa"/>
              <w:bottom w:w="0" w:type="dxa"/>
              <w:right w:w="9"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cs="Arial" w:hint="eastAsia"/>
                <w:b/>
                <w:bCs/>
                <w:color w:val="FFFFFF"/>
                <w:kern w:val="24"/>
                <w:sz w:val="24"/>
              </w:rPr>
              <w:t>18期</w:t>
            </w:r>
          </w:p>
        </w:tc>
        <w:tc>
          <w:tcPr>
            <w:tcW w:w="903" w:type="dxa"/>
            <w:tcBorders>
              <w:top w:val="single" w:sz="8" w:space="0" w:color="000000"/>
              <w:left w:val="single" w:sz="8" w:space="0" w:color="FFFFFF"/>
              <w:bottom w:val="single" w:sz="8" w:space="0" w:color="000000"/>
              <w:right w:val="single" w:sz="8" w:space="0" w:color="FFFFFF"/>
            </w:tcBorders>
            <w:shd w:val="clear" w:color="auto" w:fill="A6A6A6"/>
            <w:tcMar>
              <w:top w:w="9" w:type="dxa"/>
              <w:left w:w="9" w:type="dxa"/>
              <w:bottom w:w="0" w:type="dxa"/>
              <w:right w:w="9"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cs="Arial" w:hint="eastAsia"/>
                <w:b/>
                <w:bCs/>
                <w:color w:val="FFFFFF"/>
                <w:kern w:val="24"/>
                <w:sz w:val="24"/>
              </w:rPr>
              <w:t>24期</w:t>
            </w:r>
          </w:p>
        </w:tc>
      </w:tr>
      <w:tr w:rsidR="00FC32DB" w:rsidRPr="000569A2" w:rsidTr="006F648C">
        <w:trPr>
          <w:trHeight w:val="660"/>
          <w:jc w:val="center"/>
        </w:trPr>
        <w:tc>
          <w:tcPr>
            <w:tcW w:w="1705" w:type="dxa"/>
            <w:tcBorders>
              <w:top w:val="single" w:sz="8" w:space="0" w:color="000000"/>
              <w:left w:val="single" w:sz="8" w:space="0" w:color="FFFFFF"/>
              <w:bottom w:val="dashSmallGap" w:sz="8" w:space="0" w:color="7F7F7F"/>
              <w:right w:val="dashSmallGap" w:sz="8" w:space="0" w:color="7F7F7F"/>
            </w:tcBorders>
            <w:shd w:val="clear" w:color="auto" w:fill="auto"/>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基准费率</w:t>
            </w:r>
          </w:p>
        </w:tc>
        <w:tc>
          <w:tcPr>
            <w:tcW w:w="1023" w:type="dxa"/>
            <w:tcBorders>
              <w:top w:val="single" w:sz="8" w:space="0" w:color="000000"/>
              <w:left w:val="dashSmallGap" w:sz="8" w:space="0" w:color="7F7F7F"/>
              <w:bottom w:val="dashSmallGap" w:sz="8" w:space="0" w:color="7F7F7F"/>
              <w:right w:val="dashSmallGap" w:sz="8" w:space="0" w:color="7F7F7F"/>
            </w:tcBorders>
            <w:shd w:val="clear" w:color="auto" w:fill="auto"/>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0.75%</w:t>
            </w:r>
          </w:p>
        </w:tc>
        <w:tc>
          <w:tcPr>
            <w:tcW w:w="1023" w:type="dxa"/>
            <w:tcBorders>
              <w:top w:val="single" w:sz="8" w:space="0" w:color="000000"/>
              <w:left w:val="dashSmallGap" w:sz="8" w:space="0" w:color="7F7F7F"/>
              <w:bottom w:val="dashSmallGap" w:sz="8" w:space="0" w:color="7F7F7F"/>
              <w:right w:val="dashSmallGap" w:sz="8" w:space="0" w:color="7F7F7F"/>
            </w:tcBorders>
            <w:shd w:val="clear" w:color="auto" w:fill="auto"/>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0.70%</w:t>
            </w:r>
          </w:p>
        </w:tc>
        <w:tc>
          <w:tcPr>
            <w:tcW w:w="1023" w:type="dxa"/>
            <w:tcBorders>
              <w:top w:val="single" w:sz="8" w:space="0" w:color="000000"/>
              <w:left w:val="dashSmallGap" w:sz="8" w:space="0" w:color="7F7F7F"/>
              <w:bottom w:val="dashSmallGap" w:sz="8" w:space="0" w:color="7F7F7F"/>
              <w:right w:val="dashSmallGap" w:sz="8" w:space="0" w:color="7F7F7F"/>
            </w:tcBorders>
            <w:shd w:val="clear" w:color="auto" w:fill="auto"/>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0.60%</w:t>
            </w:r>
          </w:p>
        </w:tc>
        <w:tc>
          <w:tcPr>
            <w:tcW w:w="1003" w:type="dxa"/>
            <w:tcBorders>
              <w:top w:val="single" w:sz="8" w:space="0" w:color="000000"/>
              <w:left w:val="dashSmallGap" w:sz="8" w:space="0" w:color="7F7F7F"/>
              <w:bottom w:val="dashSmallGap" w:sz="8" w:space="0" w:color="7F7F7F"/>
              <w:right w:val="dashSmallGap" w:sz="8" w:space="0" w:color="7F7F7F"/>
            </w:tcBorders>
            <w:shd w:val="clear" w:color="auto" w:fill="auto"/>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0.60%</w:t>
            </w:r>
          </w:p>
        </w:tc>
        <w:tc>
          <w:tcPr>
            <w:tcW w:w="903" w:type="dxa"/>
            <w:tcBorders>
              <w:top w:val="single" w:sz="8" w:space="0" w:color="000000"/>
              <w:left w:val="dashSmallGap" w:sz="8" w:space="0" w:color="7F7F7F"/>
              <w:bottom w:val="dashSmallGap" w:sz="8" w:space="0" w:color="7F7F7F"/>
              <w:right w:val="single" w:sz="8" w:space="0" w:color="FFFFFF"/>
            </w:tcBorders>
            <w:shd w:val="clear" w:color="auto" w:fill="auto"/>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0.62%</w:t>
            </w:r>
          </w:p>
        </w:tc>
      </w:tr>
      <w:tr w:rsidR="00FC32DB" w:rsidRPr="000569A2" w:rsidTr="006F648C">
        <w:trPr>
          <w:trHeight w:val="660"/>
          <w:jc w:val="center"/>
        </w:trPr>
        <w:tc>
          <w:tcPr>
            <w:tcW w:w="1705" w:type="dxa"/>
            <w:tcBorders>
              <w:top w:val="dashSmallGap" w:sz="8" w:space="0" w:color="7F7F7F"/>
              <w:left w:val="single" w:sz="8" w:space="0" w:color="FFFFFF"/>
              <w:bottom w:val="single" w:sz="4" w:space="0" w:color="auto"/>
              <w:right w:val="dashSmallGap" w:sz="8" w:space="0" w:color="7F7F7F"/>
            </w:tcBorders>
            <w:shd w:val="clear" w:color="auto" w:fill="FFFF99"/>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cs="宋体" w:hint="eastAsia"/>
                <w:kern w:val="0"/>
                <w:sz w:val="24"/>
              </w:rPr>
              <w:t>2016.1.1-3.31期间活动费率</w:t>
            </w:r>
          </w:p>
        </w:tc>
        <w:tc>
          <w:tcPr>
            <w:tcW w:w="2046" w:type="dxa"/>
            <w:gridSpan w:val="2"/>
            <w:tcBorders>
              <w:top w:val="dashSmallGap" w:sz="8" w:space="0" w:color="7F7F7F"/>
              <w:left w:val="dashSmallGap" w:sz="8" w:space="0" w:color="7F7F7F"/>
              <w:bottom w:val="single" w:sz="4" w:space="0" w:color="auto"/>
              <w:right w:val="dashSmallGap" w:sz="8" w:space="0" w:color="7F7F7F"/>
            </w:tcBorders>
            <w:shd w:val="clear" w:color="auto" w:fill="auto"/>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基准费率</w:t>
            </w:r>
          </w:p>
        </w:tc>
        <w:tc>
          <w:tcPr>
            <w:tcW w:w="1023" w:type="dxa"/>
            <w:tcBorders>
              <w:top w:val="dashSmallGap" w:sz="8" w:space="0" w:color="7F7F7F"/>
              <w:left w:val="dashSmallGap" w:sz="8" w:space="0" w:color="7F7F7F"/>
              <w:bottom w:val="single" w:sz="4" w:space="0" w:color="auto"/>
              <w:right w:val="dashSmallGap" w:sz="8" w:space="0" w:color="7F7F7F"/>
            </w:tcBorders>
            <w:shd w:val="clear" w:color="auto" w:fill="FFFF99"/>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0.53%</w:t>
            </w:r>
          </w:p>
        </w:tc>
        <w:tc>
          <w:tcPr>
            <w:tcW w:w="1003" w:type="dxa"/>
            <w:tcBorders>
              <w:top w:val="dashSmallGap" w:sz="8" w:space="0" w:color="7F7F7F"/>
              <w:left w:val="dashSmallGap" w:sz="8" w:space="0" w:color="7F7F7F"/>
              <w:bottom w:val="single" w:sz="4" w:space="0" w:color="auto"/>
              <w:right w:val="dashSmallGap" w:sz="8" w:space="0" w:color="7F7F7F"/>
            </w:tcBorders>
            <w:shd w:val="clear" w:color="auto" w:fill="FFFF99"/>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0.53%</w:t>
            </w:r>
          </w:p>
        </w:tc>
        <w:tc>
          <w:tcPr>
            <w:tcW w:w="903" w:type="dxa"/>
            <w:tcBorders>
              <w:top w:val="dashSmallGap" w:sz="8" w:space="0" w:color="7F7F7F"/>
              <w:left w:val="dashSmallGap" w:sz="8" w:space="0" w:color="7F7F7F"/>
              <w:bottom w:val="single" w:sz="4" w:space="0" w:color="auto"/>
              <w:right w:val="single" w:sz="8" w:space="0" w:color="FFFFFF"/>
            </w:tcBorders>
            <w:shd w:val="clear" w:color="auto" w:fill="FFFF99"/>
            <w:tcMar>
              <w:top w:w="15" w:type="dxa"/>
              <w:left w:w="15" w:type="dxa"/>
              <w:bottom w:w="0" w:type="dxa"/>
              <w:right w:w="15" w:type="dxa"/>
            </w:tcMar>
            <w:vAlign w:val="center"/>
          </w:tcPr>
          <w:p w:rsidR="00FC32DB" w:rsidRPr="000569A2" w:rsidRDefault="00FC32DB" w:rsidP="006F648C">
            <w:pPr>
              <w:widowControl/>
              <w:spacing w:line="600" w:lineRule="exact"/>
              <w:jc w:val="center"/>
              <w:textAlignment w:val="center"/>
              <w:rPr>
                <w:rFonts w:asciiTheme="minorEastAsia" w:eastAsiaTheme="minorEastAsia" w:hAnsiTheme="minorEastAsia" w:cs="Arial"/>
                <w:kern w:val="0"/>
                <w:sz w:val="24"/>
              </w:rPr>
            </w:pPr>
            <w:r w:rsidRPr="000569A2">
              <w:rPr>
                <w:rFonts w:asciiTheme="minorEastAsia" w:eastAsiaTheme="minorEastAsia" w:hAnsiTheme="minorEastAsia" w:hint="eastAsia"/>
                <w:b/>
                <w:bCs/>
                <w:color w:val="000000"/>
                <w:kern w:val="24"/>
                <w:sz w:val="24"/>
              </w:rPr>
              <w:t>0.55%</w:t>
            </w:r>
          </w:p>
        </w:tc>
      </w:tr>
    </w:tbl>
    <w:p w:rsidR="00FC32DB" w:rsidRPr="000569A2" w:rsidRDefault="00FC32DB" w:rsidP="00FC32DB">
      <w:pPr>
        <w:pStyle w:val="a5"/>
        <w:spacing w:before="0" w:beforeAutospacing="0" w:after="0" w:afterAutospacing="0" w:line="600" w:lineRule="exact"/>
        <w:ind w:firstLineChars="200" w:firstLine="480"/>
        <w:rPr>
          <w:rFonts w:asciiTheme="minorEastAsia" w:eastAsiaTheme="minorEastAsia" w:hAnsiTheme="minorEastAsia"/>
          <w:b/>
          <w:bdr w:val="single" w:sz="4" w:space="0" w:color="auto"/>
        </w:rPr>
      </w:pPr>
      <w:r w:rsidRPr="000569A2">
        <w:rPr>
          <w:rFonts w:asciiTheme="minorEastAsia" w:eastAsiaTheme="minorEastAsia" w:hAnsiTheme="minorEastAsia" w:hint="eastAsia"/>
        </w:rPr>
        <w:t>注：每期（月）手续费= 分期本金×手续费率，将在分期后的每个账单日按期入账并收取。</w:t>
      </w:r>
    </w:p>
    <w:p w:rsidR="00FC32DB" w:rsidRPr="000569A2" w:rsidRDefault="00FC32DB" w:rsidP="00FC32DB">
      <w:pPr>
        <w:pStyle w:val="a5"/>
        <w:spacing w:before="0" w:beforeAutospacing="0" w:after="0" w:afterAutospacing="0" w:line="600" w:lineRule="exact"/>
        <w:ind w:firstLineChars="200" w:firstLine="482"/>
        <w:rPr>
          <w:rFonts w:asciiTheme="minorEastAsia" w:eastAsiaTheme="minorEastAsia" w:hAnsiTheme="minorEastAsia"/>
          <w:b/>
        </w:rPr>
      </w:pPr>
      <w:r w:rsidRPr="000569A2">
        <w:rPr>
          <w:rFonts w:asciiTheme="minorEastAsia" w:eastAsiaTheme="minorEastAsia" w:hAnsiTheme="minorEastAsia" w:cs="Times New Roman" w:hint="eastAsia"/>
          <w:b/>
          <w:color w:val="0000FF"/>
          <w:lang w:bidi="en-US"/>
        </w:rPr>
        <w:t>（2）首办礼。</w:t>
      </w:r>
      <w:r w:rsidRPr="000569A2">
        <w:rPr>
          <w:rFonts w:asciiTheme="minorEastAsia" w:eastAsiaTheme="minorEastAsia" w:hAnsiTheme="minorEastAsia" w:hint="eastAsia"/>
          <w:snapToGrid w:val="0"/>
        </w:rPr>
        <w:t>2016年1月25日-2016年3月31日</w:t>
      </w:r>
      <w:r w:rsidRPr="000569A2">
        <w:rPr>
          <w:rFonts w:asciiTheme="minorEastAsia" w:eastAsiaTheme="minorEastAsia" w:hAnsiTheme="minorEastAsia" w:hint="eastAsia"/>
        </w:rPr>
        <w:t>，龙卡信用卡持卡人，首次成功办理龙卡账单分期，且单笔金额满1万元，即可获赠小米手环（标准版 石墨黑）一个</w:t>
      </w:r>
      <w:r w:rsidRPr="000569A2">
        <w:rPr>
          <w:rFonts w:asciiTheme="minorEastAsia" w:eastAsiaTheme="minorEastAsia" w:hAnsiTheme="minorEastAsia" w:hint="eastAsia"/>
          <w:b/>
        </w:rPr>
        <w:t>（限前20万名）</w:t>
      </w:r>
      <w:r w:rsidRPr="000569A2">
        <w:rPr>
          <w:rFonts w:asciiTheme="minorEastAsia" w:eastAsiaTheme="minorEastAsia" w:hAnsiTheme="minorEastAsia" w:hint="eastAsia"/>
        </w:rPr>
        <w:t>。</w:t>
      </w:r>
    </w:p>
    <w:p w:rsidR="00FC32DB" w:rsidRPr="000569A2" w:rsidRDefault="00FC32DB" w:rsidP="00FC32DB">
      <w:pPr>
        <w:autoSpaceDE w:val="0"/>
        <w:autoSpaceDN w:val="0"/>
        <w:spacing w:line="600" w:lineRule="exact"/>
        <w:ind w:firstLineChars="200" w:firstLine="480"/>
        <w:jc w:val="left"/>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*“折扣礼”和“首办礼”可同享。</w:t>
      </w:r>
    </w:p>
    <w:p w:rsidR="00FC32DB" w:rsidRPr="000569A2" w:rsidRDefault="00FC32DB" w:rsidP="00FC32DB">
      <w:pPr>
        <w:autoSpaceDE w:val="0"/>
        <w:autoSpaceDN w:val="0"/>
        <w:spacing w:line="600" w:lineRule="exact"/>
        <w:ind w:firstLine="640"/>
        <w:rPr>
          <w:rFonts w:asciiTheme="minorEastAsia" w:eastAsiaTheme="minorEastAsia" w:hAnsiTheme="minorEastAsia"/>
          <w:b/>
          <w:color w:val="0000FF"/>
          <w:kern w:val="0"/>
          <w:sz w:val="24"/>
          <w:lang w:bidi="en-US"/>
        </w:rPr>
      </w:pPr>
      <w:r w:rsidRPr="000569A2">
        <w:rPr>
          <w:rFonts w:asciiTheme="minorEastAsia" w:eastAsiaTheme="minorEastAsia" w:hAnsiTheme="minorEastAsia" w:hint="eastAsia"/>
          <w:b/>
          <w:color w:val="0000FF"/>
          <w:kern w:val="0"/>
          <w:sz w:val="24"/>
          <w:lang w:bidi="en-US"/>
        </w:rPr>
        <w:t>（二）本次活动参加范围？</w:t>
      </w:r>
    </w:p>
    <w:p w:rsidR="00FC32DB" w:rsidRPr="000569A2" w:rsidRDefault="00FC32DB" w:rsidP="00FC32DB">
      <w:pPr>
        <w:autoSpaceDE w:val="0"/>
        <w:autoSpaceDN w:val="0"/>
        <w:spacing w:line="600" w:lineRule="exact"/>
        <w:ind w:firstLine="64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本活动对象为账户状态正常的</w:t>
      </w:r>
      <w:r w:rsidRPr="000569A2">
        <w:rPr>
          <w:rFonts w:asciiTheme="minorEastAsia" w:eastAsiaTheme="minorEastAsia" w:hAnsiTheme="minorEastAsia" w:cs="宋体" w:hint="eastAsia"/>
          <w:b/>
          <w:kern w:val="0"/>
          <w:sz w:val="24"/>
        </w:rPr>
        <w:t>龙卡信用卡主卡个人客户</w:t>
      </w:r>
      <w:r w:rsidRPr="000569A2">
        <w:rPr>
          <w:rFonts w:asciiTheme="minorEastAsia" w:eastAsiaTheme="minorEastAsia" w:hAnsiTheme="minorEastAsia" w:cs="宋体" w:hint="eastAsia"/>
          <w:kern w:val="0"/>
          <w:sz w:val="24"/>
        </w:rPr>
        <w:t>，以下简称“持卡人”，附属卡及商务卡不参加活动。</w:t>
      </w:r>
    </w:p>
    <w:p w:rsidR="00FC32DB" w:rsidRPr="000569A2" w:rsidRDefault="00FC32DB" w:rsidP="00FC32DB">
      <w:pPr>
        <w:autoSpaceDE w:val="0"/>
        <w:autoSpaceDN w:val="0"/>
        <w:spacing w:line="600" w:lineRule="exact"/>
        <w:ind w:firstLine="640"/>
        <w:rPr>
          <w:rFonts w:asciiTheme="minorEastAsia" w:eastAsiaTheme="minorEastAsia" w:hAnsiTheme="minorEastAsia"/>
          <w:b/>
          <w:color w:val="0000FF"/>
          <w:kern w:val="0"/>
          <w:sz w:val="24"/>
          <w:lang w:bidi="en-US"/>
        </w:rPr>
      </w:pPr>
      <w:r w:rsidRPr="000569A2">
        <w:rPr>
          <w:rFonts w:asciiTheme="minorEastAsia" w:eastAsiaTheme="minorEastAsia" w:hAnsiTheme="minorEastAsia" w:hint="eastAsia"/>
          <w:b/>
          <w:color w:val="0000FF"/>
          <w:kern w:val="0"/>
          <w:sz w:val="24"/>
          <w:lang w:bidi="en-US"/>
        </w:rPr>
        <w:lastRenderedPageBreak/>
        <w:t>（三）我如何能获赠礼品？</w:t>
      </w:r>
    </w:p>
    <w:p w:rsidR="00FC32DB" w:rsidRPr="000569A2" w:rsidRDefault="00FC32DB" w:rsidP="00FC32DB">
      <w:pPr>
        <w:autoSpaceDE w:val="0"/>
        <w:autoSpaceDN w:val="0"/>
        <w:spacing w:line="600" w:lineRule="exact"/>
        <w:ind w:firstLine="640"/>
        <w:rPr>
          <w:rFonts w:asciiTheme="minorEastAsia" w:eastAsiaTheme="minorEastAsia" w:hAnsiTheme="minorEastAsia" w:cs="宋体"/>
          <w:kern w:val="0"/>
          <w:sz w:val="24"/>
        </w:rPr>
      </w:pPr>
      <w:r w:rsidRPr="000569A2">
        <w:rPr>
          <w:rFonts w:asciiTheme="minorEastAsia" w:eastAsiaTheme="minorEastAsia" w:hAnsiTheme="minorEastAsia" w:hint="eastAsia"/>
          <w:sz w:val="24"/>
        </w:rPr>
        <w:t>活动期间，首次成功办理龙卡账单分期，且单笔金额满1万元，即可获赠小米手环（标准版 石墨黑）一个</w:t>
      </w:r>
      <w:r w:rsidRPr="000569A2">
        <w:rPr>
          <w:rFonts w:asciiTheme="minorEastAsia" w:eastAsiaTheme="minorEastAsia" w:hAnsiTheme="minorEastAsia" w:hint="eastAsia"/>
          <w:b/>
          <w:sz w:val="24"/>
        </w:rPr>
        <w:t>（限前20万名）</w:t>
      </w:r>
      <w:r w:rsidRPr="000569A2">
        <w:rPr>
          <w:rFonts w:asciiTheme="minorEastAsia" w:eastAsiaTheme="minorEastAsia" w:hAnsiTheme="minorEastAsia" w:hint="eastAsia"/>
          <w:sz w:val="24"/>
        </w:rPr>
        <w:t>，</w:t>
      </w:r>
      <w:r w:rsidRPr="000569A2">
        <w:rPr>
          <w:rFonts w:asciiTheme="minorEastAsia" w:eastAsiaTheme="minorEastAsia" w:hAnsiTheme="minorEastAsia" w:cs="宋体" w:hint="eastAsia"/>
          <w:kern w:val="0"/>
          <w:sz w:val="24"/>
        </w:rPr>
        <w:t>每位客户限赠一次。</w:t>
      </w:r>
    </w:p>
    <w:p w:rsidR="00FC32DB" w:rsidRPr="000569A2" w:rsidRDefault="00FC32DB" w:rsidP="00FC32DB">
      <w:pPr>
        <w:autoSpaceDE w:val="0"/>
        <w:autoSpaceDN w:val="0"/>
        <w:spacing w:line="600" w:lineRule="exact"/>
        <w:ind w:firstLine="640"/>
        <w:rPr>
          <w:rFonts w:asciiTheme="minorEastAsia" w:eastAsiaTheme="minorEastAsia" w:hAnsiTheme="minorEastAsia"/>
          <w:b/>
          <w:color w:val="0000FF"/>
          <w:kern w:val="0"/>
          <w:sz w:val="24"/>
          <w:lang w:bidi="en-US"/>
        </w:rPr>
      </w:pPr>
      <w:r w:rsidRPr="000569A2">
        <w:rPr>
          <w:rFonts w:asciiTheme="minorEastAsia" w:eastAsiaTheme="minorEastAsia" w:hAnsiTheme="minorEastAsia" w:hint="eastAsia"/>
          <w:b/>
          <w:color w:val="0000FF"/>
          <w:kern w:val="0"/>
          <w:sz w:val="24"/>
          <w:lang w:bidi="en-US"/>
        </w:rPr>
        <w:t>（四）我如何获赠礼品？</w:t>
      </w:r>
    </w:p>
    <w:p w:rsidR="00FC32DB" w:rsidRDefault="00FC32DB" w:rsidP="00FC32DB">
      <w:pPr>
        <w:autoSpaceDE w:val="0"/>
        <w:autoSpaceDN w:val="0"/>
        <w:spacing w:line="600" w:lineRule="exact"/>
        <w:ind w:firstLine="624"/>
        <w:jc w:val="left"/>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账单分期“首办礼”按符合条件的我行系统交易成功时间先后顺序赠送，共计20万名，先到先得，赠完即止。我行将定期在建行官网公布满足礼品赠送人数情况，以方便持卡人参加活动。我行将于活动结束后的两个自然月内按照持卡人账单地址，将礼品寄送给持卡人，配送方将在礼品送达前通过电话等方式对持卡人配送地址、联系方式等信息进行确认。持卡人参加活动前应确认在我行登记账单地址准确无误。如因持卡人在我行登记的账单地址有误，或因与配送方确认的配送地址有误，而导致礼品配送失败，将视为自动放弃所赠礼品。若因持卡人地址等有误配送失败，可于活动结束后三个自然月内致电4008200588提出查询或表示异议，逾期我行不再受理。</w:t>
      </w:r>
    </w:p>
    <w:p w:rsidR="00FC32DB" w:rsidRPr="00C54A5C" w:rsidRDefault="00FC32DB" w:rsidP="00FC32DB">
      <w:pPr>
        <w:autoSpaceDE w:val="0"/>
        <w:autoSpaceDN w:val="0"/>
        <w:spacing w:line="600" w:lineRule="exact"/>
        <w:ind w:firstLine="624"/>
        <w:jc w:val="left"/>
        <w:rPr>
          <w:rFonts w:asciiTheme="minorEastAsia" w:eastAsiaTheme="minorEastAsia" w:hAnsiTheme="minorEastAsia"/>
          <w:b/>
          <w:color w:val="0000FF"/>
          <w:kern w:val="0"/>
          <w:sz w:val="24"/>
          <w:lang w:bidi="en-US"/>
        </w:rPr>
      </w:pPr>
      <w:r w:rsidRPr="000569A2">
        <w:rPr>
          <w:rFonts w:asciiTheme="minorEastAsia" w:eastAsiaTheme="minorEastAsia" w:hAnsiTheme="minorEastAsia" w:hint="eastAsia"/>
          <w:b/>
          <w:color w:val="0000FF"/>
          <w:kern w:val="0"/>
          <w:sz w:val="24"/>
          <w:lang w:bidi="en-US"/>
        </w:rPr>
        <w:t>（五）多刷是否可以多赠？各项优惠活动可同时参加吗？可以兑换现金吗？</w:t>
      </w:r>
    </w:p>
    <w:p w:rsidR="00FC32DB" w:rsidRPr="000569A2" w:rsidRDefault="00FC32DB" w:rsidP="00FC32DB">
      <w:pPr>
        <w:autoSpaceDE w:val="0"/>
        <w:autoSpaceDN w:val="0"/>
        <w:spacing w:line="600" w:lineRule="exact"/>
        <w:ind w:firstLine="64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本次活动中“折扣礼”和“首办礼”可同享，均不可兑换现金。“首办礼”每位客户限赠一次。持卡人以其身份证件号认定，仅限主卡持卡人具有获赠资格，同一持卡人名下多张主卡合计获赠（礼）资格。</w:t>
      </w:r>
    </w:p>
    <w:p w:rsidR="00FC32DB" w:rsidRPr="00C54A5C" w:rsidRDefault="00FC32DB" w:rsidP="00FC32DB">
      <w:pPr>
        <w:autoSpaceDE w:val="0"/>
        <w:autoSpaceDN w:val="0"/>
        <w:spacing w:line="600" w:lineRule="exact"/>
        <w:ind w:firstLine="624"/>
        <w:jc w:val="left"/>
        <w:rPr>
          <w:rFonts w:asciiTheme="minorEastAsia" w:eastAsiaTheme="minorEastAsia" w:hAnsiTheme="minorEastAsia"/>
          <w:b/>
          <w:color w:val="0000FF"/>
          <w:kern w:val="0"/>
          <w:sz w:val="24"/>
          <w:lang w:bidi="en-US"/>
        </w:rPr>
      </w:pPr>
      <w:r w:rsidRPr="00C54A5C">
        <w:rPr>
          <w:rFonts w:asciiTheme="minorEastAsia" w:eastAsiaTheme="minorEastAsia" w:hAnsiTheme="minorEastAsia" w:hint="eastAsia"/>
          <w:b/>
          <w:color w:val="0000FF"/>
          <w:kern w:val="0"/>
          <w:sz w:val="24"/>
          <w:lang w:bidi="en-US"/>
        </w:rPr>
        <w:t>（六）活动时间及分期交易规则有哪些要求？</w:t>
      </w:r>
    </w:p>
    <w:p w:rsidR="00FC32DB" w:rsidRPr="000569A2" w:rsidRDefault="00FC32DB" w:rsidP="00FC32DB">
      <w:pPr>
        <w:autoSpaceDE w:val="0"/>
        <w:autoSpaceDN w:val="0"/>
        <w:spacing w:line="600" w:lineRule="exact"/>
        <w:ind w:firstLine="640"/>
        <w:jc w:val="left"/>
        <w:rPr>
          <w:rFonts w:asciiTheme="minorEastAsia" w:eastAsiaTheme="minorEastAsia" w:hAnsiTheme="minorEastAsia" w:cs="宋体"/>
          <w:color w:val="000000"/>
          <w:kern w:val="0"/>
          <w:sz w:val="24"/>
        </w:rPr>
      </w:pPr>
      <w:r w:rsidRPr="000569A2">
        <w:rPr>
          <w:rFonts w:asciiTheme="minorEastAsia" w:eastAsiaTheme="minorEastAsia" w:hAnsiTheme="minorEastAsia" w:cs="宋体" w:hint="eastAsia"/>
          <w:color w:val="000000"/>
          <w:kern w:val="0"/>
          <w:sz w:val="24"/>
        </w:rPr>
        <w:t>本次活动时间为，</w:t>
      </w:r>
      <w:r w:rsidRPr="000569A2">
        <w:rPr>
          <w:rFonts w:asciiTheme="minorEastAsia" w:eastAsiaTheme="minorEastAsia" w:hAnsiTheme="minorEastAsia" w:cs="宋体" w:hint="eastAsia"/>
          <w:kern w:val="0"/>
          <w:sz w:val="24"/>
        </w:rPr>
        <w:t>折扣礼：2016年1月1日至3月31日、首办礼：2016年1月25日至3月31日</w:t>
      </w:r>
      <w:r w:rsidRPr="000569A2">
        <w:rPr>
          <w:rFonts w:asciiTheme="minorEastAsia" w:eastAsiaTheme="minorEastAsia" w:hAnsiTheme="minorEastAsia" w:cs="宋体" w:hint="eastAsia"/>
          <w:color w:val="000000"/>
          <w:kern w:val="0"/>
          <w:sz w:val="24"/>
        </w:rPr>
        <w:t>，以账单分期成功交易时间为准。如您的申办时间与我行系统记录不符，以我行系统记录为准。</w:t>
      </w:r>
    </w:p>
    <w:p w:rsidR="00FC32DB" w:rsidRPr="00DB0729" w:rsidRDefault="00FC32DB" w:rsidP="00FC32DB">
      <w:pPr>
        <w:autoSpaceDE w:val="0"/>
        <w:autoSpaceDN w:val="0"/>
        <w:spacing w:line="600" w:lineRule="exact"/>
        <w:ind w:firstLine="640"/>
        <w:rPr>
          <w:rFonts w:asciiTheme="minorEastAsia" w:eastAsiaTheme="minorEastAsia" w:hAnsiTheme="minorEastAsia" w:cs="宋体"/>
          <w:color w:val="000000"/>
          <w:kern w:val="0"/>
          <w:sz w:val="24"/>
        </w:rPr>
      </w:pPr>
      <w:r w:rsidRPr="000569A2">
        <w:rPr>
          <w:rFonts w:asciiTheme="minorEastAsia" w:eastAsiaTheme="minorEastAsia" w:hAnsiTheme="minorEastAsia" w:cs="宋体" w:hint="eastAsia"/>
          <w:color w:val="000000"/>
          <w:kern w:val="0"/>
          <w:sz w:val="24"/>
        </w:rPr>
        <w:t>提前终止的分期交易不参加本次活动。持卡人有义务按约定偿还信用卡欠</w:t>
      </w:r>
      <w:r w:rsidRPr="000569A2">
        <w:rPr>
          <w:rFonts w:asciiTheme="minorEastAsia" w:eastAsiaTheme="minorEastAsia" w:hAnsiTheme="minorEastAsia" w:cs="宋体" w:hint="eastAsia"/>
          <w:color w:val="000000"/>
          <w:kern w:val="0"/>
          <w:sz w:val="24"/>
        </w:rPr>
        <w:lastRenderedPageBreak/>
        <w:t>款。若持卡人于活动期间有逾期还款，违反中国建设银行龙卡信用卡章程、领用协议或账单分期约定条款，出现账户状态不正常，参与套现或违法交易等情况的，中国建设银行有权随时取消其参加本次活动及得奖资格，并有权要求持卡人在指定时间内退还获赠礼品金额；持卡人不作退还的，建行保留从持卡人对应信用卡账户中直接按礼品价值扣除相应金额或采取其他相应法律措施的权利。</w:t>
      </w:r>
    </w:p>
    <w:p w:rsidR="00FC32DB" w:rsidRPr="000569A2" w:rsidRDefault="00FC32DB" w:rsidP="00FC32DB">
      <w:pPr>
        <w:autoSpaceDE w:val="0"/>
        <w:autoSpaceDN w:val="0"/>
        <w:spacing w:line="600" w:lineRule="exact"/>
        <w:ind w:firstLineChars="200" w:firstLine="482"/>
        <w:rPr>
          <w:rFonts w:asciiTheme="minorEastAsia" w:eastAsiaTheme="minorEastAsia" w:hAnsiTheme="minorEastAsia" w:cs="宋体"/>
          <w:b/>
          <w:kern w:val="0"/>
          <w:sz w:val="24"/>
        </w:rPr>
      </w:pPr>
    </w:p>
    <w:p w:rsidR="00FC32DB" w:rsidRPr="000569A2" w:rsidRDefault="00FC32DB" w:rsidP="00FC32DB">
      <w:pPr>
        <w:spacing w:line="360" w:lineRule="auto"/>
        <w:ind w:firstLineChars="200" w:firstLine="482"/>
        <w:rPr>
          <w:rFonts w:asciiTheme="minorEastAsia" w:eastAsiaTheme="minorEastAsia" w:hAnsiTheme="minorEastAsia"/>
          <w:b/>
          <w:color w:val="0000FF"/>
          <w:kern w:val="0"/>
          <w:sz w:val="24"/>
        </w:rPr>
      </w:pPr>
      <w:r w:rsidRPr="000569A2">
        <w:rPr>
          <w:rFonts w:asciiTheme="minorEastAsia" w:eastAsiaTheme="minorEastAsia" w:hAnsiTheme="minorEastAsia" w:hint="eastAsia"/>
          <w:b/>
          <w:color w:val="0000FF"/>
          <w:kern w:val="0"/>
          <w:sz w:val="24"/>
        </w:rPr>
        <w:t>二、活动细则</w:t>
      </w:r>
    </w:p>
    <w:p w:rsidR="00FC32DB" w:rsidRPr="000569A2" w:rsidRDefault="00FC32DB" w:rsidP="00FC32DB">
      <w:pPr>
        <w:autoSpaceDE w:val="0"/>
        <w:autoSpaceDN w:val="0"/>
        <w:spacing w:line="600" w:lineRule="exact"/>
        <w:ind w:firstLineChars="200" w:firstLine="48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（1）本活动对象为账户状态正常的</w:t>
      </w:r>
      <w:r w:rsidRPr="00C54A5C">
        <w:rPr>
          <w:rFonts w:asciiTheme="minorEastAsia" w:eastAsiaTheme="minorEastAsia" w:hAnsiTheme="minorEastAsia" w:hint="eastAsia"/>
          <w:b/>
          <w:color w:val="0000FF"/>
          <w:kern w:val="0"/>
          <w:sz w:val="24"/>
          <w:lang w:bidi="en-US"/>
        </w:rPr>
        <w:t>龙卡信用卡主卡个人客户，</w:t>
      </w:r>
      <w:r w:rsidRPr="000569A2">
        <w:rPr>
          <w:rFonts w:asciiTheme="minorEastAsia" w:eastAsiaTheme="minorEastAsia" w:hAnsiTheme="minorEastAsia" w:cs="宋体" w:hint="eastAsia"/>
          <w:kern w:val="0"/>
          <w:sz w:val="24"/>
        </w:rPr>
        <w:t>以下简称“持卡人”，附属卡及商务卡不参加活动。</w:t>
      </w:r>
    </w:p>
    <w:p w:rsidR="00FC32DB" w:rsidRPr="00C54A5C" w:rsidRDefault="00FC32DB" w:rsidP="00FC32DB">
      <w:pPr>
        <w:autoSpaceDE w:val="0"/>
        <w:autoSpaceDN w:val="0"/>
        <w:spacing w:line="600" w:lineRule="exact"/>
        <w:ind w:firstLine="640"/>
        <w:rPr>
          <w:rFonts w:asciiTheme="minorEastAsia" w:eastAsiaTheme="minorEastAsia" w:hAnsiTheme="minorEastAsia"/>
          <w:b/>
          <w:color w:val="0000FF"/>
          <w:kern w:val="0"/>
          <w:sz w:val="24"/>
          <w:lang w:bidi="en-US"/>
        </w:rPr>
      </w:pPr>
      <w:r w:rsidRPr="000569A2">
        <w:rPr>
          <w:rFonts w:asciiTheme="minorEastAsia" w:eastAsiaTheme="minorEastAsia" w:hAnsiTheme="minorEastAsia" w:cs="宋体" w:hint="eastAsia"/>
          <w:kern w:val="0"/>
          <w:sz w:val="24"/>
        </w:rPr>
        <w:t>（2）本活动时间为，折扣礼：2016年1月1日至3月31日、首办礼：2016年1月25日至3月31日，以账单分期成功交易时间为准。</w:t>
      </w:r>
      <w:r w:rsidRPr="00C54A5C">
        <w:rPr>
          <w:rFonts w:asciiTheme="minorEastAsia" w:eastAsiaTheme="minorEastAsia" w:hAnsiTheme="minorEastAsia" w:hint="eastAsia"/>
          <w:b/>
          <w:color w:val="0000FF"/>
          <w:kern w:val="0"/>
          <w:sz w:val="24"/>
          <w:lang w:bidi="en-US"/>
        </w:rPr>
        <w:t>如持卡人申请时间与我行系统记录不符，以我行系统记录为准。</w:t>
      </w:r>
    </w:p>
    <w:p w:rsidR="00FC32DB" w:rsidRPr="000569A2" w:rsidRDefault="00FC32DB" w:rsidP="00FC32DB">
      <w:pPr>
        <w:autoSpaceDE w:val="0"/>
        <w:autoSpaceDN w:val="0"/>
        <w:spacing w:line="600" w:lineRule="exact"/>
        <w:ind w:firstLine="64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（3）“首办礼”相关规定</w:t>
      </w:r>
    </w:p>
    <w:p w:rsidR="00FC32DB" w:rsidRPr="00C54A5C" w:rsidRDefault="00FC32DB" w:rsidP="00FC32DB">
      <w:pPr>
        <w:pStyle w:val="a6"/>
        <w:numPr>
          <w:ilvl w:val="0"/>
          <w:numId w:val="1"/>
        </w:numPr>
        <w:autoSpaceDE w:val="0"/>
        <w:autoSpaceDN w:val="0"/>
        <w:spacing w:line="600" w:lineRule="exact"/>
        <w:ind w:left="0" w:firstLineChars="0" w:firstLine="709"/>
        <w:rPr>
          <w:rFonts w:asciiTheme="minorEastAsia" w:eastAsiaTheme="minorEastAsia" w:hAnsiTheme="minorEastAsia"/>
          <w:b/>
          <w:color w:val="0000FF"/>
          <w:kern w:val="0"/>
          <w:sz w:val="24"/>
          <w:lang w:bidi="en-US"/>
        </w:rPr>
      </w:pPr>
      <w:r w:rsidRPr="000569A2">
        <w:rPr>
          <w:rFonts w:asciiTheme="minorEastAsia" w:eastAsiaTheme="minorEastAsia" w:hAnsiTheme="minorEastAsia" w:cs="宋体" w:hint="eastAsia"/>
          <w:kern w:val="0"/>
          <w:sz w:val="24"/>
        </w:rPr>
        <w:t>“首办礼”是指本次活动前持卡人从未办理过龙卡账单分期业务。活动期间成功办理首笔该项业务，且单笔金额满1万元，</w:t>
      </w:r>
      <w:r w:rsidRPr="000569A2">
        <w:rPr>
          <w:rFonts w:asciiTheme="minorEastAsia" w:eastAsiaTheme="minorEastAsia" w:hAnsiTheme="minorEastAsia" w:hint="eastAsia"/>
          <w:sz w:val="24"/>
        </w:rPr>
        <w:t>即可获赠小米手环（标准版 石墨黑）一个</w:t>
      </w:r>
      <w:r w:rsidRPr="00C54A5C">
        <w:rPr>
          <w:rFonts w:asciiTheme="minorEastAsia" w:eastAsiaTheme="minorEastAsia" w:hAnsiTheme="minorEastAsia" w:hint="eastAsia"/>
          <w:b/>
          <w:color w:val="0000FF"/>
          <w:kern w:val="0"/>
          <w:sz w:val="24"/>
          <w:lang w:bidi="en-US"/>
        </w:rPr>
        <w:t>（限前20万名）</w:t>
      </w:r>
    </w:p>
    <w:p w:rsidR="00FC32DB" w:rsidRPr="000569A2" w:rsidRDefault="00FC32DB" w:rsidP="00FC32DB">
      <w:pPr>
        <w:pStyle w:val="a6"/>
        <w:numPr>
          <w:ilvl w:val="0"/>
          <w:numId w:val="1"/>
        </w:numPr>
        <w:autoSpaceDE w:val="0"/>
        <w:autoSpaceDN w:val="0"/>
        <w:spacing w:line="600" w:lineRule="exact"/>
        <w:ind w:left="0" w:firstLineChars="0" w:firstLine="709"/>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“折扣礼”和“首办礼”可同享。“首办礼”每位客户限赠一次，将根据我行系统记录的分期成功交易时间先后顺序，对符合活动条件的客户赠送</w:t>
      </w:r>
      <w:r w:rsidRPr="000569A2">
        <w:rPr>
          <w:rFonts w:asciiTheme="minorEastAsia" w:eastAsiaTheme="minorEastAsia" w:hAnsiTheme="minorEastAsia" w:hint="eastAsia"/>
          <w:sz w:val="24"/>
        </w:rPr>
        <w:t>小米手环（标准版 石墨黑）一个</w:t>
      </w:r>
      <w:r w:rsidRPr="000569A2">
        <w:rPr>
          <w:rFonts w:asciiTheme="minorEastAsia" w:eastAsiaTheme="minorEastAsia" w:hAnsiTheme="minorEastAsia" w:cs="宋体" w:hint="eastAsia"/>
          <w:kern w:val="0"/>
          <w:sz w:val="24"/>
        </w:rPr>
        <w:t>，</w:t>
      </w:r>
      <w:r w:rsidRPr="00C54A5C">
        <w:rPr>
          <w:rFonts w:asciiTheme="minorEastAsia" w:eastAsiaTheme="minorEastAsia" w:hAnsiTheme="minorEastAsia" w:hint="eastAsia"/>
          <w:b/>
          <w:color w:val="0000FF"/>
          <w:kern w:val="0"/>
          <w:sz w:val="24"/>
          <w:lang w:bidi="en-US"/>
        </w:rPr>
        <w:t>先到先得，赠完即止</w:t>
      </w:r>
      <w:r w:rsidRPr="000569A2">
        <w:rPr>
          <w:rFonts w:asciiTheme="minorEastAsia" w:eastAsiaTheme="minorEastAsia" w:hAnsiTheme="minorEastAsia" w:cs="宋体" w:hint="eastAsia"/>
          <w:kern w:val="0"/>
          <w:sz w:val="24"/>
        </w:rPr>
        <w:t>。我行将定期在建行官网公布满足礼品赠送人数情况，以方便持卡人参加活动。</w:t>
      </w:r>
    </w:p>
    <w:p w:rsidR="00FC32DB" w:rsidRPr="000569A2" w:rsidRDefault="00FC32DB" w:rsidP="00FC32DB">
      <w:pPr>
        <w:pStyle w:val="a6"/>
        <w:numPr>
          <w:ilvl w:val="0"/>
          <w:numId w:val="1"/>
        </w:numPr>
        <w:autoSpaceDE w:val="0"/>
        <w:autoSpaceDN w:val="0"/>
        <w:spacing w:line="600" w:lineRule="exact"/>
        <w:ind w:left="0" w:firstLineChars="221" w:firstLine="53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“首办礼”礼品为</w:t>
      </w:r>
      <w:r w:rsidRPr="000569A2">
        <w:rPr>
          <w:rFonts w:asciiTheme="minorEastAsia" w:eastAsiaTheme="minorEastAsia" w:hAnsiTheme="minorEastAsia" w:hint="eastAsia"/>
          <w:sz w:val="24"/>
        </w:rPr>
        <w:t>小米手环（标准版 石墨黑）</w:t>
      </w:r>
      <w:r w:rsidRPr="000569A2">
        <w:rPr>
          <w:rFonts w:asciiTheme="minorEastAsia" w:eastAsiaTheme="minorEastAsia" w:hAnsiTheme="minorEastAsia" w:cs="宋体" w:hint="eastAsia"/>
          <w:kern w:val="0"/>
          <w:sz w:val="24"/>
        </w:rPr>
        <w:t>，礼品图片仅供参考，请以礼品实物为准，所赠礼品不能兑换现金。</w:t>
      </w:r>
    </w:p>
    <w:p w:rsidR="00FC32DB" w:rsidRPr="000569A2" w:rsidRDefault="00FC32DB" w:rsidP="00FC32DB">
      <w:pPr>
        <w:pStyle w:val="a6"/>
        <w:numPr>
          <w:ilvl w:val="0"/>
          <w:numId w:val="1"/>
        </w:numPr>
        <w:autoSpaceDE w:val="0"/>
        <w:autoSpaceDN w:val="0"/>
        <w:spacing w:line="600" w:lineRule="exact"/>
        <w:ind w:left="0" w:firstLineChars="221" w:firstLine="53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我行将于活动结束后的两个自然月内按照持卡人账单地址，将礼品寄送</w:t>
      </w:r>
      <w:r w:rsidRPr="000569A2">
        <w:rPr>
          <w:rFonts w:asciiTheme="minorEastAsia" w:eastAsiaTheme="minorEastAsia" w:hAnsiTheme="minorEastAsia" w:cs="宋体" w:hint="eastAsia"/>
          <w:kern w:val="0"/>
          <w:sz w:val="24"/>
        </w:rPr>
        <w:lastRenderedPageBreak/>
        <w:t>给持卡人，配送方将在礼品送达前通过电话等方式对持卡人配送地址、联系方式等信息进行确认。持卡人参加活动前应确认在我行登记账单地址准确无误。如因持卡人在我行登记的账单地址有误，或因与配送方确认的配送地址有误，而导致礼品配送失败，将视为自动放弃所赠礼品。若因持卡人地址等有误配送失败，可于活动结束后三个自然月内致电4008200588提出查询或表示异议，逾期我行不再受理。</w:t>
      </w:r>
    </w:p>
    <w:p w:rsidR="00FC32DB" w:rsidRPr="000569A2" w:rsidRDefault="00FC32DB" w:rsidP="00FC32DB">
      <w:pPr>
        <w:pStyle w:val="a6"/>
        <w:numPr>
          <w:ilvl w:val="0"/>
          <w:numId w:val="1"/>
        </w:numPr>
        <w:autoSpaceDE w:val="0"/>
        <w:autoSpaceDN w:val="0"/>
        <w:spacing w:line="600" w:lineRule="exact"/>
        <w:ind w:left="0" w:firstLineChars="221" w:firstLine="53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建设银行不是礼品的制作单位及授权代理商，与供应商之间没有任何代理、经销、担保等关系，持卡人因礼品的质量问题</w:t>
      </w:r>
      <w:r w:rsidRPr="000569A2">
        <w:rPr>
          <w:rFonts w:asciiTheme="minorEastAsia" w:eastAsiaTheme="minorEastAsia" w:hAnsiTheme="minorEastAsia" w:hint="eastAsia"/>
          <w:snapToGrid w:val="0"/>
          <w:kern w:val="0"/>
          <w:sz w:val="24"/>
        </w:rPr>
        <w:t>等引发的任何索赔、质询及投诉</w:t>
      </w:r>
      <w:r w:rsidRPr="000569A2">
        <w:rPr>
          <w:rFonts w:asciiTheme="minorEastAsia" w:eastAsiaTheme="minorEastAsia" w:hAnsiTheme="minorEastAsia" w:cs="宋体" w:hint="eastAsia"/>
          <w:kern w:val="0"/>
          <w:sz w:val="24"/>
        </w:rPr>
        <w:t>由产品供应商负责。</w:t>
      </w:r>
    </w:p>
    <w:p w:rsidR="00FC32DB" w:rsidRPr="000569A2" w:rsidRDefault="00FC32DB" w:rsidP="00FC32DB">
      <w:pPr>
        <w:autoSpaceDE w:val="0"/>
        <w:autoSpaceDN w:val="0"/>
        <w:spacing w:line="600" w:lineRule="exact"/>
        <w:ind w:firstLine="624"/>
        <w:jc w:val="left"/>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（4）持卡人在每个账单周期只能申请一次账单分期，两次申请之间的时间间隔不少于30天。</w:t>
      </w:r>
    </w:p>
    <w:p w:rsidR="00FC32DB" w:rsidRPr="00C54A5C" w:rsidRDefault="00FC32DB" w:rsidP="00FC32DB">
      <w:pPr>
        <w:autoSpaceDE w:val="0"/>
        <w:autoSpaceDN w:val="0"/>
        <w:spacing w:line="600" w:lineRule="exact"/>
        <w:ind w:firstLine="624"/>
        <w:jc w:val="left"/>
        <w:rPr>
          <w:rFonts w:asciiTheme="minorEastAsia" w:eastAsiaTheme="minorEastAsia" w:hAnsiTheme="minorEastAsia"/>
          <w:b/>
          <w:color w:val="0000FF"/>
          <w:kern w:val="0"/>
          <w:sz w:val="24"/>
          <w:lang w:bidi="en-US"/>
        </w:rPr>
      </w:pPr>
      <w:r w:rsidRPr="000569A2">
        <w:rPr>
          <w:rFonts w:asciiTheme="minorEastAsia" w:eastAsiaTheme="minorEastAsia" w:hAnsiTheme="minorEastAsia" w:cs="宋体" w:hint="eastAsia"/>
          <w:kern w:val="0"/>
          <w:sz w:val="24"/>
        </w:rPr>
        <w:t>（5）持卡人已成功办理账单分期，</w:t>
      </w:r>
      <w:r w:rsidRPr="00C54A5C">
        <w:rPr>
          <w:rFonts w:asciiTheme="minorEastAsia" w:eastAsiaTheme="minorEastAsia" w:hAnsiTheme="minorEastAsia" w:hint="eastAsia"/>
          <w:b/>
          <w:color w:val="0000FF"/>
          <w:kern w:val="0"/>
          <w:sz w:val="24"/>
          <w:lang w:bidi="en-US"/>
        </w:rPr>
        <w:t>如申请提前还款，须一次性偿还剩余的所有各期本金及手续费，已收取的分期手续费不予退还。</w:t>
      </w:r>
    </w:p>
    <w:p w:rsidR="00FC32DB" w:rsidRPr="000569A2" w:rsidRDefault="00FC32DB" w:rsidP="00FC32DB">
      <w:pPr>
        <w:autoSpaceDE w:val="0"/>
        <w:autoSpaceDN w:val="0"/>
        <w:spacing w:line="600" w:lineRule="exact"/>
        <w:ind w:firstLine="624"/>
        <w:jc w:val="left"/>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（6）持卡人办理龙卡信用卡账单分期业务前，均应仔细阅读并同意账单分期约定条款。持卡人申请龙卡信用卡账单分期业务，即表示其已清楚知晓并同意遵守相关分期付款约定条款（详见建行网站www.ccb.com）。</w:t>
      </w:r>
    </w:p>
    <w:p w:rsidR="00FC32DB" w:rsidRPr="00C54A5C" w:rsidRDefault="00FC32DB" w:rsidP="00FC32DB">
      <w:pPr>
        <w:autoSpaceDE w:val="0"/>
        <w:autoSpaceDN w:val="0"/>
        <w:spacing w:line="600" w:lineRule="exact"/>
        <w:ind w:firstLine="640"/>
        <w:rPr>
          <w:rFonts w:asciiTheme="minorEastAsia" w:eastAsiaTheme="minorEastAsia" w:hAnsiTheme="minorEastAsia"/>
          <w:b/>
          <w:color w:val="0000FF"/>
          <w:kern w:val="0"/>
          <w:sz w:val="24"/>
          <w:lang w:bidi="en-US"/>
        </w:rPr>
      </w:pPr>
      <w:r w:rsidRPr="000569A2">
        <w:rPr>
          <w:rFonts w:asciiTheme="minorEastAsia" w:eastAsiaTheme="minorEastAsia" w:hAnsiTheme="minorEastAsia" w:cs="宋体" w:hint="eastAsia"/>
          <w:kern w:val="0"/>
          <w:sz w:val="24"/>
        </w:rPr>
        <w:t>（7）</w:t>
      </w:r>
      <w:r w:rsidRPr="00C54A5C">
        <w:rPr>
          <w:rFonts w:asciiTheme="minorEastAsia" w:eastAsiaTheme="minorEastAsia" w:hAnsiTheme="minorEastAsia" w:hint="eastAsia"/>
          <w:b/>
          <w:color w:val="0000FF"/>
          <w:kern w:val="0"/>
          <w:sz w:val="24"/>
          <w:lang w:bidi="en-US"/>
        </w:rPr>
        <w:t>撤销或提前终止的账单分期交易不参加本次活动。</w:t>
      </w:r>
    </w:p>
    <w:p w:rsidR="00FC32DB" w:rsidRPr="00C54A5C" w:rsidRDefault="00FC32DB" w:rsidP="00FC32DB">
      <w:pPr>
        <w:autoSpaceDE w:val="0"/>
        <w:autoSpaceDN w:val="0"/>
        <w:spacing w:line="600" w:lineRule="exact"/>
        <w:ind w:firstLine="640"/>
        <w:rPr>
          <w:rFonts w:asciiTheme="minorEastAsia" w:eastAsiaTheme="minorEastAsia" w:hAnsiTheme="minorEastAsia"/>
          <w:b/>
          <w:color w:val="0000FF"/>
          <w:kern w:val="0"/>
          <w:sz w:val="24"/>
          <w:lang w:bidi="en-US"/>
        </w:rPr>
      </w:pPr>
      <w:r w:rsidRPr="000569A2">
        <w:rPr>
          <w:rFonts w:asciiTheme="minorEastAsia" w:eastAsiaTheme="minorEastAsia" w:hAnsiTheme="minorEastAsia" w:cs="宋体" w:hint="eastAsia"/>
          <w:kern w:val="0"/>
          <w:sz w:val="24"/>
        </w:rPr>
        <w:t>（8）持卡人有义务按约定偿还信用卡欠款。若持卡人于活动期间有逾期还款，违反中国建设银行龙卡信用卡章程、领用协议或账单分期约定条款，出现账户状态不正常，参与套现或违法交易等情况的，</w:t>
      </w:r>
      <w:r w:rsidRPr="00C54A5C">
        <w:rPr>
          <w:rFonts w:asciiTheme="minorEastAsia" w:eastAsiaTheme="minorEastAsia" w:hAnsiTheme="minorEastAsia" w:hint="eastAsia"/>
          <w:b/>
          <w:color w:val="0000FF"/>
          <w:kern w:val="0"/>
          <w:sz w:val="24"/>
          <w:lang w:bidi="en-US"/>
        </w:rPr>
        <w:t>中国建设银行有权随时取消其参加本次活动及得奖资格，并有权要求持卡人在指定时间内退还获赠礼品金额；持卡人不作退还的，建行保留从持卡人对应信用卡账户中直接按礼品价值扣除相应金额或采取其他相应法律措施的权利。</w:t>
      </w:r>
    </w:p>
    <w:p w:rsidR="00FC32DB" w:rsidRPr="000569A2" w:rsidRDefault="00FC32DB" w:rsidP="00FC32DB">
      <w:pPr>
        <w:autoSpaceDE w:val="0"/>
        <w:autoSpaceDN w:val="0"/>
        <w:spacing w:line="600" w:lineRule="exact"/>
        <w:ind w:firstLine="64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lastRenderedPageBreak/>
        <w:t>（9）本业务详细办法以建行网站公布为准，其他未尽事宜，依照中华人民共和国法律法规、金融业政策规定、中国建设银行龙卡信用卡章程、领用协议及龙卡信用卡账单分期业务约定条款及相关行业惯例办理。在法律许可范围内，中国建设银行保留相关解释、调整及更改的权利。调整及更改经相关途径（如银行网站）公告后生效。</w:t>
      </w:r>
    </w:p>
    <w:p w:rsidR="00FC32DB" w:rsidRPr="000569A2" w:rsidRDefault="00FC32DB" w:rsidP="00FC32DB">
      <w:pPr>
        <w:autoSpaceDE w:val="0"/>
        <w:autoSpaceDN w:val="0"/>
        <w:spacing w:line="600" w:lineRule="exact"/>
        <w:ind w:firstLine="640"/>
        <w:rPr>
          <w:rFonts w:asciiTheme="minorEastAsia" w:eastAsiaTheme="minorEastAsia" w:hAnsiTheme="minorEastAsia" w:cs="宋体"/>
          <w:kern w:val="0"/>
          <w:sz w:val="24"/>
        </w:rPr>
      </w:pPr>
      <w:r w:rsidRPr="000569A2">
        <w:rPr>
          <w:rFonts w:asciiTheme="minorEastAsia" w:eastAsiaTheme="minorEastAsia" w:hAnsiTheme="minorEastAsia" w:cs="宋体" w:hint="eastAsia"/>
          <w:kern w:val="0"/>
          <w:sz w:val="24"/>
        </w:rPr>
        <w:t>（10）对本活动规则如有疑问，请登录建行网站信用卡频道（creditcard.ccb.com）查询。</w:t>
      </w:r>
    </w:p>
    <w:p w:rsidR="00F57EB7" w:rsidRPr="00FC32DB" w:rsidRDefault="00F57EB7"/>
    <w:sectPr w:rsidR="00F57EB7" w:rsidRPr="00FC32DB" w:rsidSect="001122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B7" w:rsidRDefault="00F57EB7" w:rsidP="00FC32DB">
      <w:r>
        <w:separator/>
      </w:r>
    </w:p>
  </w:endnote>
  <w:endnote w:type="continuationSeparator" w:id="1">
    <w:p w:rsidR="00F57EB7" w:rsidRDefault="00F57EB7" w:rsidP="00FC32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B7" w:rsidRDefault="00F57EB7" w:rsidP="00FC32DB">
      <w:r>
        <w:separator/>
      </w:r>
    </w:p>
  </w:footnote>
  <w:footnote w:type="continuationSeparator" w:id="1">
    <w:p w:rsidR="00F57EB7" w:rsidRDefault="00F57EB7" w:rsidP="00FC3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D30F9"/>
    <w:multiLevelType w:val="hybridMultilevel"/>
    <w:tmpl w:val="E40AFDFE"/>
    <w:lvl w:ilvl="0" w:tplc="9F061436">
      <w:start w:val="1"/>
      <w:numFmt w:val="bullet"/>
      <w:lvlText w:val=""/>
      <w:lvlJc w:val="left"/>
      <w:pPr>
        <w:ind w:left="1060" w:hanging="420"/>
      </w:pPr>
      <w:rPr>
        <w:rFonts w:ascii="Wingdings" w:hAnsi="Wingdings" w:hint="default"/>
        <w:sz w:val="15"/>
        <w:szCs w:val="15"/>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2DB"/>
    <w:rsid w:val="00F57EB7"/>
    <w:rsid w:val="00FC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3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32DB"/>
    <w:rPr>
      <w:sz w:val="18"/>
      <w:szCs w:val="18"/>
    </w:rPr>
  </w:style>
  <w:style w:type="paragraph" w:styleId="a4">
    <w:name w:val="footer"/>
    <w:basedOn w:val="a"/>
    <w:link w:val="Char0"/>
    <w:uiPriority w:val="99"/>
    <w:semiHidden/>
    <w:unhideWhenUsed/>
    <w:rsid w:val="00FC3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32DB"/>
    <w:rPr>
      <w:sz w:val="18"/>
      <w:szCs w:val="18"/>
    </w:rPr>
  </w:style>
  <w:style w:type="paragraph" w:styleId="a5">
    <w:name w:val="Normal (Web)"/>
    <w:basedOn w:val="a"/>
    <w:uiPriority w:val="99"/>
    <w:rsid w:val="00FC32DB"/>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FC32D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信用卡中心-消费信贷</dc:creator>
  <cp:keywords/>
  <dc:description/>
  <cp:lastModifiedBy>信用卡中心-消费信贷</cp:lastModifiedBy>
  <cp:revision>2</cp:revision>
  <dcterms:created xsi:type="dcterms:W3CDTF">2016-02-02T08:23:00Z</dcterms:created>
  <dcterms:modified xsi:type="dcterms:W3CDTF">2016-02-02T08:23:00Z</dcterms:modified>
</cp:coreProperties>
</file>